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SG_VERWALTUNGSGERICHT B 2024/220 vom 9. Januar 2025</w:t>
      </w:r>
    </w:p>
    <w:p>
      <w:r>
        <w:t>Sg Verwaltungsgericht, 2025-01-09, DE</w:t>
      </w:r>
    </w:p>
    <w:p>
      <w:r>
        <w:rPr>
          <w:b/>
        </w:rPr>
        <w:t xml:space="preserve">Quelle: </w:t>
      </w:r>
      <w:r>
        <w:t>https://mcp.opencaselaw.ch/entscheid/sg_publikationen_B 2024_220</w:t>
      </w:r>
    </w:p>
    <w:p>
      <w:r>
        <w:t>FR: SG_VERWALTUNGSGERICHT B 2024/220 du 9 janvier 2025</w:t>
      </w:r>
    </w:p>
    <w:p>
      <w:r>
        <w:t>IT: SG_VERWALTUNGSGERICHT B 2024/220 del 9 gennaio 2025</w:t>
      </w:r>
    </w:p>
    <w:p>
      <w:pPr>
        <w:pStyle w:val="Heading2"/>
      </w:pPr>
      <w:r>
        <w:t>Regeste</w:t>
      </w:r>
    </w:p>
    <w:p>
      <w:r>
        <w:t>Festsetzung der amtlichen Kosten und der Parteientschädigung nach Rückweisung durch das Bundesgericht, Art. 95 und 98 VRP (Verwaltungsgericht, B 2024/220).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Aufgrund des Urteils des Bundesgerichts vom 15. November 2024 sind die Kosten der kan- tonalen Verfahren neu festzusetzen. Nach Art. 95 Abs. 1 des Gesetzes über die Verwal- tungsrechtspflege (sGS 951.1, VRP) hat in Streitigkeiten jener Beteiligte die amtlichen Kos- ten zu tragen, dessen Begehren ganz oder teilweise abgewiesen werden.</w:t>
      </w:r>
    </w:p>
    <w:p>
      <w:r>
        <w:rPr>
          <w:b/>
        </w:rPr>
        <w:t>E. 2.1</w:t>
      </w:r>
    </w:p>
    <w:p>
      <w:r>
        <w:t>Das Bundesgericht hat den verwaltungsgerichtlichen Entscheid B 2024/33 vom 15. August 2024 aufgehoben und den Vollzug der Landesverweisung des Beschwerdeführers vorläufig aufgeschoben. Damit wäre dem Begehren des Beschwerdeführers in den kantonalen Ver- fahren, der Vollzug der Landesverweisung sei aufzuschieben, zu entsprechen gewesen. Folglich ist der Beschwerdeführer bei der Kostenverlegung in den kantonalen Verfahren als vollumfänglich obsiegend zu behandeln.</w:t>
      </w:r>
    </w:p>
    <w:p>
      <w:r>
        <w:rPr>
          <w:b/>
        </w:rPr>
        <w:t>E. 2.2</w:t>
      </w:r>
    </w:p>
    <w:p>
      <w:r>
        <w:t>Amtliche Kosten sind vom Staat weder für das Rekurs- noch für das Beschwerdeverfahren zu erheben (Art. 95 Abs. 3 VRP).</w:t>
      </w:r>
    </w:p>
    <w:p>
      <w:r>
        <w:rPr>
          <w:b/>
        </w:rPr>
        <w:t>E. 2.3</w:t>
      </w:r>
    </w:p>
    <w:p>
      <w:r>
        <w:t>Dem Beschwerdeführer steht sowohl für das Rekurs- als auch für das Beschwerdeverfah- ren eine volle ausseramtliche Entschädigung zu. Das im Rekursverfahren pauschal be- stimmte volle Honorar des Rechtsvertreters des Beschwerdeführers von CHF 2'800 (inkl. Barauslagen, zuzüglich Mehrwertsteuer) erscheint angemessen; ebenso das im Beschwer- deverfahren pauschal festgelegte volle Honorar von CHF 2'600 (inkl. Barauslagen, zuzüg- lich Mehrwertsteuer). Kostenpflichtig ist der Staat (Migrationsamt).</w:t>
      </w:r>
    </w:p>
    <w:p>
      <w:r>
        <w:rPr>
          <w:b/>
        </w:rPr>
        <w:t>E. 3</w:t>
      </w:r>
    </w:p>
    <w:p>
      <w:r>
        <w:t>Für diesen Entscheid werden weder amtliche Kosten erhoben noch ausseramtliche Ent- schädigungen zugesprochen. B 2024/220 4/4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